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cs="Times New Roman"/>
          <w:sz w:val="28"/>
          <w:szCs w:val="28"/>
          <w:lang w:val="kk-KZ"/>
        </w:rPr>
        <w:t xml:space="preserve">              </w:t>
      </w:r>
      <w:r>
        <w:rPr>
          <w:rFonts w:cs="Times New Roman"/>
          <w:color w:val="FF3333"/>
          <w:sz w:val="52"/>
          <w:szCs w:val="52"/>
          <w:lang w:val="kk-KZ"/>
        </w:rPr>
        <w:t>Экспериментті</w:t>
      </w:r>
      <w:r>
        <w:rPr>
          <w:rFonts w:cs="Times New Roman"/>
          <w:color w:val="FF3333"/>
          <w:sz w:val="52"/>
          <w:szCs w:val="52"/>
          <w:lang w:val="kk-KZ"/>
        </w:rPr>
        <w:t xml:space="preserve">к </w:t>
      </w:r>
      <w:r>
        <w:rPr>
          <w:rFonts w:cs="Times New Roman"/>
          <w:color w:val="FF3333"/>
          <w:sz w:val="52"/>
          <w:szCs w:val="52"/>
          <w:lang w:val="kk-KZ"/>
        </w:rPr>
        <w:t xml:space="preserve"> емес психологиялық әдістер</w:t>
      </w:r>
    </w:p>
    <w:p>
      <w:pPr>
        <w:pStyle w:val="style20"/>
        <w:numPr>
          <w:ilvl w:val="0"/>
          <w:numId w:val="1"/>
        </w:numPr>
        <w:jc w:val="both"/>
      </w:pPr>
      <w:r>
        <w:rPr>
          <w:rFonts w:cs="Times New Roman"/>
          <w:sz w:val="28"/>
          <w:szCs w:val="28"/>
          <w:lang w:val="kk-KZ"/>
        </w:rPr>
        <w:t>Бақылау</w:t>
      </w:r>
    </w:p>
    <w:p>
      <w:pPr>
        <w:pStyle w:val="style20"/>
        <w:numPr>
          <w:ilvl w:val="0"/>
          <w:numId w:val="1"/>
        </w:numPr>
        <w:jc w:val="both"/>
      </w:pPr>
      <w:r>
        <w:rPr>
          <w:rFonts w:cs="Times New Roman"/>
          <w:sz w:val="28"/>
          <w:szCs w:val="28"/>
          <w:lang w:val="kk-KZ"/>
        </w:rPr>
        <w:t>Әңгімелесу</w:t>
      </w:r>
    </w:p>
    <w:p>
      <w:pPr>
        <w:pStyle w:val="style20"/>
        <w:numPr>
          <w:ilvl w:val="0"/>
          <w:numId w:val="1"/>
        </w:numPr>
        <w:jc w:val="both"/>
      </w:pPr>
      <w:r>
        <w:rPr>
          <w:rFonts w:cs="Times New Roman"/>
          <w:sz w:val="28"/>
          <w:szCs w:val="28"/>
          <w:lang w:val="kk-KZ"/>
        </w:rPr>
        <w:t>«Мұрағат әдісі»</w:t>
      </w:r>
    </w:p>
    <w:p>
      <w:pPr>
        <w:pStyle w:val="style0"/>
        <w:jc w:val="both"/>
      </w:pPr>
      <w:r>
        <w:rPr>
          <w:rFonts w:cs="Times New Roman"/>
          <w:sz w:val="28"/>
          <w:szCs w:val="28"/>
          <w:lang w:val="kk-KZ"/>
        </w:rPr>
        <w:t xml:space="preserve">   </w:t>
      </w:r>
      <w:r>
        <w:rPr>
          <w:rFonts w:cs="Times New Roman"/>
          <w:sz w:val="28"/>
          <w:szCs w:val="28"/>
          <w:lang w:val="kk-KZ"/>
        </w:rPr>
        <w:t xml:space="preserve">Бақылау мақсатқа бағытталған объектінің іс-әрекетін қабылдауды және тіркеуді ұйымдастыру болып табылады. Бақылау өзін-өзі бақылаумен бірге ең ескі психологиялық әдіс болып табылады. Ғылым эмпирикалық әдіс ретінде XIXғасырдың соңынан бастап коиникалық, әлеуметтік, педагогикалық психологияда,даму психологиясында қолданылға, ал XX ғасырдан бастап еңбек психологиясында, яғни адамның оған үйреншікті жағдайда қалыпты іс-әрекет ерекшеліктерін бекіту маңызды орын алатын салаларда қолданылады. Бұл арқылы арқылы бақылау үшін «сыртқа» валидтілікті сақтау маңызды. Жүйелі және жүйесіз бақылау түрлеріажыратылады. Жүйесіз бақылау аймақтық зерттеу кезінде  және этнопсихологияда қолданылады. Жүйесіз бақылауды жүргізуші зерттеуші үшін себепті тәуелділіктер мен құбылыстардың қатаң сипатталуы емес индивидтің немесе топтың белгілі жағдайларда іс-әрекетінің жалпы келбетін қалыптастыру маңызды болып табылады. </w:t>
      </w:r>
    </w:p>
    <w:p>
      <w:pPr>
        <w:pStyle w:val="style0"/>
        <w:jc w:val="both"/>
      </w:pPr>
      <w:r>
        <w:rPr>
          <w:rFonts w:cs="Times New Roman"/>
          <w:sz w:val="28"/>
          <w:szCs w:val="28"/>
          <w:lang w:val="kk-KZ"/>
        </w:rPr>
        <w:t>Жүйелі бақылау белгілі жоспар бойынша жүргізіледі. Зерттеуші іс-әрекеттің ерекшеліктерін тіркеп, сыртқы орта жағдайларын бөлшектейді. Жүйелі бақылау жоспарын квазиэксперименттің немесе корреляциялық зерттеу кестесіне сәйкес келеді.</w:t>
      </w:r>
    </w:p>
    <w:p>
      <w:pPr>
        <w:pStyle w:val="style0"/>
        <w:jc w:val="both"/>
      </w:pPr>
      <w:r>
        <w:rPr>
          <w:rFonts w:cs="Times New Roman"/>
          <w:sz w:val="28"/>
          <w:szCs w:val="28"/>
          <w:lang w:val="kk-KZ"/>
        </w:rPr>
        <w:t xml:space="preserve">«Жаппай және таңдамалы» бақылау ажыратылады. Бірінші жағдайда зерттеуші немесе зерттеушілер тобы максималды тиянақты бақылауға жеткілікті іс-әрекет ерекшеліктерін тіркейді. Екінші жағдайда ол іс-әрекеттің тек белгілі параметрлеріне немесе іс-әрекет актілерінің типтеріне ғана көңіл бөледі. Мысалы, агрессияның көрініс беру жилігі, немесе күн барысындаға ана мен баланың өзара іс-әрекет уақытын белгіленеді. </w:t>
      </w:r>
    </w:p>
    <w:p>
      <w:pPr>
        <w:pStyle w:val="style0"/>
        <w:jc w:val="both"/>
      </w:pPr>
      <w:r>
        <w:rPr>
          <w:rFonts w:cs="Times New Roman"/>
          <w:sz w:val="28"/>
          <w:szCs w:val="28"/>
          <w:lang w:val="kk-KZ"/>
        </w:rPr>
        <w:t xml:space="preserve">Бақылау нәтижелерін тіркеу тікелей бақылау құралдары және нәтижелерді тіркеу құралдары арқылы жүзеге асырылуы мүмкін. </w:t>
      </w:r>
    </w:p>
    <w:p>
      <w:pPr>
        <w:pStyle w:val="style0"/>
        <w:jc w:val="both"/>
      </w:pPr>
      <w:r>
        <w:rPr>
          <w:rFonts w:cs="Times New Roman"/>
          <w:color w:val="FF3333"/>
          <w:sz w:val="28"/>
          <w:szCs w:val="28"/>
          <w:lang w:val="kk-KZ"/>
        </w:rPr>
        <w:t xml:space="preserve">Бақылау әдісі арқылы зерттеу процедурасы келесі кезеңдерден тұрады: </w:t>
      </w:r>
    </w:p>
    <w:p>
      <w:pPr>
        <w:pStyle w:val="style20"/>
        <w:numPr>
          <w:ilvl w:val="0"/>
          <w:numId w:val="2"/>
        </w:numPr>
        <w:jc w:val="both"/>
      </w:pPr>
      <w:r>
        <w:rPr>
          <w:rFonts w:cs="Times New Roman"/>
          <w:sz w:val="28"/>
          <w:szCs w:val="28"/>
          <w:lang w:val="kk-KZ"/>
        </w:rPr>
        <w:t>Бақылау пәні (іс-әрекет), объектісі (жеке индивидті немесе топтық) анықталады;</w:t>
      </w:r>
    </w:p>
    <w:p>
      <w:pPr>
        <w:pStyle w:val="style20"/>
        <w:numPr>
          <w:ilvl w:val="0"/>
          <w:numId w:val="2"/>
        </w:numPr>
        <w:jc w:val="both"/>
      </w:pPr>
      <w:r>
        <w:rPr>
          <w:rFonts w:cs="Times New Roman"/>
          <w:sz w:val="28"/>
          <w:szCs w:val="28"/>
          <w:lang w:val="kk-KZ"/>
        </w:rPr>
        <w:t xml:space="preserve">Бақылау мен мәлеметтерді тіркеу тәсілдері талданады. </w:t>
      </w:r>
    </w:p>
    <w:p>
      <w:pPr>
        <w:pStyle w:val="style20"/>
        <w:numPr>
          <w:ilvl w:val="0"/>
          <w:numId w:val="2"/>
        </w:numPr>
        <w:jc w:val="both"/>
      </w:pPr>
      <w:r>
        <w:rPr>
          <w:rFonts w:cs="Times New Roman"/>
          <w:sz w:val="28"/>
          <w:szCs w:val="28"/>
          <w:lang w:val="kk-KZ"/>
        </w:rPr>
        <w:t>Бақылау жоспары құрылады.(ситуациялар-объект-уақыт)</w:t>
      </w:r>
    </w:p>
    <w:p>
      <w:pPr>
        <w:pStyle w:val="style20"/>
        <w:numPr>
          <w:ilvl w:val="0"/>
          <w:numId w:val="2"/>
        </w:numPr>
        <w:jc w:val="both"/>
      </w:pPr>
      <w:r>
        <w:rPr>
          <w:rFonts w:cs="Times New Roman"/>
          <w:sz w:val="28"/>
          <w:szCs w:val="28"/>
          <w:lang w:val="kk-KZ"/>
        </w:rPr>
        <w:t>Нәтижелерді өңдеу әдістері талданады</w:t>
      </w:r>
    </w:p>
    <w:p>
      <w:pPr>
        <w:pStyle w:val="style20"/>
        <w:numPr>
          <w:ilvl w:val="0"/>
          <w:numId w:val="2"/>
        </w:numPr>
        <w:jc w:val="both"/>
      </w:pPr>
      <w:r>
        <w:rPr>
          <w:rFonts w:cs="Times New Roman"/>
          <w:sz w:val="28"/>
          <w:szCs w:val="28"/>
          <w:lang w:val="kk-KZ"/>
        </w:rPr>
        <w:t xml:space="preserve">Ағынған ақпаратты өңдеу және интерпретациялау жүзеге асырылады. </w:t>
      </w:r>
    </w:p>
    <w:p>
      <w:pPr>
        <w:pStyle w:val="style0"/>
        <w:jc w:val="both"/>
      </w:pPr>
      <w:r>
        <w:rPr>
          <w:rFonts w:cs="Times New Roman"/>
          <w:color w:val="FF3333"/>
          <w:sz w:val="28"/>
          <w:szCs w:val="28"/>
          <w:lang w:val="kk-KZ"/>
        </w:rPr>
        <w:t>Бақылау пәні ретінде вербалды және вербалды емес іс-әрекет ерекшеліктері болуы мүмкін.Зерттеуші бақылау</w:t>
      </w:r>
      <w:r>
        <w:rPr>
          <w:rFonts w:cs="Times New Roman"/>
          <w:color w:val="FF3333"/>
          <w:sz w:val="28"/>
          <w:szCs w:val="28"/>
          <w:lang w:val="kk-KZ"/>
        </w:rPr>
        <w:t>ға</w:t>
      </w:r>
      <w:r>
        <w:rPr>
          <w:rFonts w:cs="Times New Roman"/>
          <w:color w:val="FF3333"/>
          <w:sz w:val="28"/>
          <w:szCs w:val="28"/>
          <w:lang w:val="kk-KZ"/>
        </w:rPr>
        <w:t xml:space="preserve"> алады:</w:t>
      </w:r>
    </w:p>
    <w:p>
      <w:pPr>
        <w:pStyle w:val="style20"/>
        <w:numPr>
          <w:ilvl w:val="0"/>
          <w:numId w:val="3"/>
        </w:numPr>
        <w:jc w:val="both"/>
      </w:pPr>
      <w:r>
        <w:rPr>
          <w:rFonts w:cs="Times New Roman"/>
          <w:sz w:val="28"/>
          <w:szCs w:val="28"/>
          <w:lang w:val="kk-KZ"/>
        </w:rPr>
        <w:t xml:space="preserve">Сөйлеу астісін  (мазмұнын, ретін, жилігін, </w:t>
      </w:r>
      <w:r>
        <w:rPr>
          <w:rFonts w:cs="Times New Roman"/>
          <w:sz w:val="28"/>
          <w:szCs w:val="28"/>
          <w:lang w:val="kk-KZ"/>
        </w:rPr>
        <w:t>ұ</w:t>
      </w:r>
      <w:r>
        <w:rPr>
          <w:rFonts w:cs="Times New Roman"/>
          <w:sz w:val="28"/>
          <w:szCs w:val="28"/>
          <w:lang w:val="kk-KZ"/>
        </w:rPr>
        <w:t>зақтығын, интенсивтілігін және т.б.);</w:t>
      </w:r>
    </w:p>
    <w:p>
      <w:pPr>
        <w:pStyle w:val="style20"/>
        <w:numPr>
          <w:ilvl w:val="0"/>
          <w:numId w:val="3"/>
        </w:numPr>
        <w:jc w:val="both"/>
      </w:pPr>
      <w:r>
        <w:rPr>
          <w:rFonts w:cs="Times New Roman"/>
          <w:sz w:val="28"/>
          <w:szCs w:val="28"/>
          <w:lang w:val="kk-KZ"/>
        </w:rPr>
        <w:t>Мәнерлі қимылдарды, бет әлпетінің экспрессиясын (көздің, дененің және т.б.);</w:t>
      </w:r>
    </w:p>
    <w:p>
      <w:pPr>
        <w:pStyle w:val="style20"/>
        <w:numPr>
          <w:ilvl w:val="0"/>
          <w:numId w:val="3"/>
        </w:numPr>
        <w:jc w:val="both"/>
      </w:pPr>
      <w:r>
        <w:rPr>
          <w:rFonts w:cs="Times New Roman"/>
          <w:sz w:val="28"/>
          <w:szCs w:val="28"/>
          <w:lang w:val="kk-KZ"/>
        </w:rPr>
        <w:t>Қимылдарды (адамдардың орын ауыстыруын және қимылсыз жағдайын), олардың арасындағы қашықтықты, жылдамдық пен бағытын;</w:t>
      </w:r>
    </w:p>
    <w:p>
      <w:pPr>
        <w:pStyle w:val="style20"/>
        <w:numPr>
          <w:ilvl w:val="0"/>
          <w:numId w:val="3"/>
        </w:numPr>
        <w:jc w:val="both"/>
      </w:pPr>
      <w:r>
        <w:rPr>
          <w:rFonts w:cs="Times New Roman"/>
          <w:sz w:val="28"/>
          <w:szCs w:val="28"/>
          <w:lang w:val="kk-KZ"/>
        </w:rPr>
        <w:t>Денелік ықпалдарды(сынауд, соғылуларды, тербелістерді,күшті және т.б.);</w:t>
      </w:r>
    </w:p>
    <w:p>
      <w:pPr>
        <w:pStyle w:val="style0"/>
        <w:jc w:val="both"/>
      </w:pPr>
      <w:r>
        <w:rPr>
          <w:rFonts w:cs="Times New Roman"/>
          <w:color w:val="FF3333"/>
          <w:sz w:val="28"/>
          <w:szCs w:val="28"/>
          <w:lang w:val="kk-KZ"/>
        </w:rPr>
        <w:t>А.А.Ершов(1977ж) бақылаудың келесі қалыпты кемшіліктерін бөліп  көрсетті:</w:t>
      </w:r>
    </w:p>
    <w:p>
      <w:pPr>
        <w:pStyle w:val="style20"/>
        <w:numPr>
          <w:ilvl w:val="0"/>
          <w:numId w:val="4"/>
        </w:numPr>
        <w:jc w:val="both"/>
      </w:pPr>
      <w:r>
        <w:rPr>
          <w:rFonts w:cs="Times New Roman"/>
          <w:color w:val="FF3333"/>
          <w:sz w:val="28"/>
          <w:szCs w:val="28"/>
          <w:lang w:val="kk-KZ"/>
        </w:rPr>
        <w:t>Галло-эффект. Бақылаудың жалпыланған әсері іс-әрекетті деректі қабылдауға , сезілмейтін айырмашылықтарды елемеуге алып келеді.</w:t>
      </w:r>
    </w:p>
    <w:p>
      <w:pPr>
        <w:pStyle w:val="style20"/>
        <w:numPr>
          <w:ilvl w:val="0"/>
          <w:numId w:val="4"/>
        </w:numPr>
        <w:jc w:val="both"/>
      </w:pPr>
      <w:r>
        <w:rPr>
          <w:rFonts w:cs="Times New Roman"/>
          <w:color w:val="FF3333"/>
          <w:sz w:val="28"/>
          <w:szCs w:val="28"/>
          <w:lang w:val="kk-KZ"/>
        </w:rPr>
        <w:t>Аяушылық эффектісі. Жағдайға әрқашан жағымды баға беру тенденциясы.</w:t>
      </w:r>
    </w:p>
    <w:p>
      <w:pPr>
        <w:pStyle w:val="style20"/>
        <w:numPr>
          <w:ilvl w:val="0"/>
          <w:numId w:val="4"/>
        </w:numPr>
        <w:jc w:val="both"/>
      </w:pPr>
      <w:r>
        <w:rPr>
          <w:rFonts w:cs="Times New Roman"/>
          <w:color w:val="FF3333"/>
          <w:sz w:val="28"/>
          <w:szCs w:val="28"/>
          <w:lang w:val="kk-KZ"/>
        </w:rPr>
        <w:t>Орталық тенденция кемшілігі. Бақылаушы орташаанған бақыланған іс-әрекетке баға беруге тырысады.</w:t>
      </w:r>
    </w:p>
    <w:p>
      <w:pPr>
        <w:pStyle w:val="style20"/>
        <w:numPr>
          <w:ilvl w:val="0"/>
          <w:numId w:val="4"/>
        </w:numPr>
        <w:jc w:val="both"/>
      </w:pPr>
      <w:r>
        <w:rPr>
          <w:rFonts w:cs="Times New Roman"/>
          <w:color w:val="FF3333"/>
          <w:sz w:val="28"/>
          <w:szCs w:val="28"/>
          <w:lang w:val="kk-KZ"/>
        </w:rPr>
        <w:t>Коррекция кемшілігі. Бір іс-әрекет белгісінің бағасы бақыланатын басқа белгінің негізінде беріледі.</w:t>
      </w:r>
    </w:p>
    <w:p>
      <w:pPr>
        <w:pStyle w:val="style20"/>
        <w:numPr>
          <w:ilvl w:val="0"/>
          <w:numId w:val="4"/>
        </w:numPr>
        <w:jc w:val="both"/>
      </w:pPr>
      <w:r>
        <w:rPr>
          <w:rFonts w:cs="Times New Roman"/>
          <w:color w:val="FF3333"/>
          <w:sz w:val="28"/>
          <w:szCs w:val="28"/>
          <w:lang w:val="kk-KZ"/>
        </w:rPr>
        <w:t>Контраст кемшілігі.  Бақылаушының бақыланушылардан өздеріне қарама-қайшы белгілерін басу бейімділігі</w:t>
      </w:r>
    </w:p>
    <w:p>
      <w:pPr>
        <w:pStyle w:val="style20"/>
        <w:numPr>
          <w:ilvl w:val="0"/>
          <w:numId w:val="4"/>
        </w:numPr>
        <w:jc w:val="both"/>
      </w:pPr>
      <w:r>
        <w:rPr>
          <w:rFonts w:cs="Times New Roman"/>
          <w:color w:val="FF3333"/>
          <w:sz w:val="28"/>
          <w:szCs w:val="28"/>
          <w:lang w:val="kk-KZ"/>
        </w:rPr>
        <w:t>Бірінші әсер кемшілігі. Индивид жөніндегі алғашқы әсер оның келесі іс-әрекетін қабылдау мен бағалауына ықпал етеді.</w:t>
      </w:r>
    </w:p>
    <w:p>
      <w:pPr>
        <w:pStyle w:val="style0"/>
        <w:jc w:val="both"/>
      </w:pPr>
      <w:r>
        <w:rPr>
          <w:rFonts w:cs="Times New Roman"/>
          <w:sz w:val="28"/>
          <w:szCs w:val="28"/>
          <w:lang w:val="kk-KZ"/>
        </w:rPr>
        <w:t xml:space="preserve">Бақылау жеке дербес процедура ретінде және эксперимент процессіне қосылған әдіс ретінде қарастырылады.Бақылау нәтижелері (зерттеудің эксперименталды тапсырмалардыорындау барысында) зерттеуші үшін ең маңызды қосымша ақпарат болып табылады. Ч.Дарвин, В.Гумбольд, И.П.Павлов, К.Лоренц және т.б. бақылау әдісін ғылыми фактілердің маңызды көзі деп санаған. </w:t>
      </w:r>
    </w:p>
    <w:p>
      <w:pPr>
        <w:pStyle w:val="style0"/>
        <w:jc w:val="both"/>
      </w:pPr>
      <w:r>
        <w:rPr>
          <w:rFonts w:cs="Times New Roman"/>
          <w:sz w:val="28"/>
          <w:szCs w:val="28"/>
          <w:lang w:val="kk-KZ"/>
        </w:rPr>
        <w:t xml:space="preserve">2. </w:t>
      </w:r>
      <w:r>
        <w:rPr>
          <w:rFonts w:cs="Times New Roman"/>
          <w:color w:val="FF3333"/>
          <w:sz w:val="28"/>
          <w:szCs w:val="28"/>
          <w:lang w:val="kk-KZ"/>
        </w:rPr>
        <w:t>Әңгіме- адам әрекетін зерттеудің спецификалық ерекшеліктері бар психологиялық әдіс</w:t>
      </w:r>
      <w:r>
        <w:rPr>
          <w:rFonts w:cs="Times New Roman"/>
          <w:sz w:val="28"/>
          <w:szCs w:val="28"/>
          <w:lang w:val="kk-KZ"/>
        </w:rPr>
        <w:t>.</w:t>
      </w:r>
    </w:p>
    <w:p>
      <w:pPr>
        <w:pStyle w:val="style0"/>
        <w:jc w:val="both"/>
      </w:pPr>
      <w:r>
        <w:rPr>
          <w:rFonts w:cs="Times New Roman"/>
          <w:sz w:val="28"/>
          <w:szCs w:val="28"/>
          <w:lang w:val="kk-KZ"/>
        </w:rPr>
        <w:t xml:space="preserve"> </w:t>
      </w:r>
      <w:r>
        <w:rPr>
          <w:rFonts w:cs="Times New Roman"/>
          <w:sz w:val="28"/>
          <w:szCs w:val="28"/>
          <w:lang w:val="kk-KZ"/>
        </w:rPr>
        <w:t xml:space="preserve">Екі адам арасындағы диалог (адам оның барысында басқаның психологиялықерекшеліктерін анықтайды) әңгімелесі деп аталады. Түрлі мектептер мен бағыттаға психологтар осы әдісті өздерінің зерттеулерінде кеңінен қолданады. Пиаже және оның мектебінің өкілдерін, гуманисттік психологтарды, «терең» психологияның негізін салушылар мен әзбасарларын атау жеткілікті. </w:t>
      </w:r>
    </w:p>
    <w:p>
      <w:pPr>
        <w:pStyle w:val="style0"/>
        <w:jc w:val="both"/>
      </w:pPr>
      <w:r>
        <w:rPr>
          <w:rFonts w:cs="Times New Roman"/>
          <w:sz w:val="28"/>
          <w:szCs w:val="28"/>
          <w:lang w:val="kk-KZ"/>
        </w:rPr>
        <w:t xml:space="preserve">  </w:t>
      </w:r>
      <w:r>
        <w:rPr>
          <w:rFonts w:cs="Times New Roman"/>
          <w:sz w:val="28"/>
          <w:szCs w:val="28"/>
          <w:lang w:val="kk-KZ"/>
        </w:rPr>
        <w:t xml:space="preserve">Әңгіме бірінші кезеңде эксперимент құрылымына, зерттеуші зерттелінуші жөнінде алғашқы ақпаратты жанастырған кезде, қосымша әдіс ретінде енгізеді, зерттеушілер клиникалық әңгімені ажыратады(клиникалық әдістің құрамды бөлігі және мақсатына бағытталған "бетпе-бет" интервьюі). </w:t>
      </w:r>
    </w:p>
    <w:p>
      <w:pPr>
        <w:pStyle w:val="style0"/>
        <w:jc w:val="both"/>
      </w:pPr>
      <w:r>
        <w:rPr>
          <w:rFonts w:cs="Times New Roman"/>
          <w:sz w:val="28"/>
          <w:szCs w:val="28"/>
          <w:lang w:val="kk-KZ"/>
        </w:rPr>
        <w:t xml:space="preserve">  </w:t>
      </w:r>
      <w:r>
        <w:rPr>
          <w:rFonts w:cs="Times New Roman"/>
          <w:sz w:val="28"/>
          <w:szCs w:val="28"/>
          <w:lang w:val="kk-KZ"/>
        </w:rPr>
        <w:t>Клиникалық әңгімені клиника пациентімен жүргізу міндетті емес. Бұл термин психологиялық кеңес беру немесе психологиялық тренинг контекстінде қолданылады.</w:t>
      </w:r>
    </w:p>
    <w:p>
      <w:pPr>
        <w:pStyle w:val="style0"/>
        <w:jc w:val="both"/>
      </w:pPr>
      <w:r>
        <w:rPr>
          <w:rFonts w:cs="Times New Roman"/>
          <w:sz w:val="28"/>
          <w:szCs w:val="28"/>
          <w:lang w:val="kk-KZ"/>
        </w:rPr>
        <w:t xml:space="preserve">  </w:t>
      </w:r>
      <w:r>
        <w:rPr>
          <w:rFonts w:cs="Times New Roman"/>
          <w:sz w:val="28"/>
          <w:szCs w:val="28"/>
          <w:lang w:val="kk-KZ"/>
        </w:rPr>
        <w:t>Клиникалық әңгімелесу барысында алынған мәліметтерді экспериментатордың өзі белгілейді, әңгімелесу есіне сақтағандай ақпаратты жазып беретін ассистенттің немесе зерттеушінің өзі белгілесе жақсы болады.Бұл жеке болжамдарды (гипотезаларды) сол зерттелінушіге тапсырма, тесттер береді. Егер жазу әңгіме барысында жүргізілсе, әңгімелесушімен байланыс үзілуі мүмкін. Бұл жағдайда жасырын аудио видео жазу көмек көрсетеді, дегенімен ол этикалық мәселелерді  туғызады. Есте сақтағаны бойынша жазулар зейіннің ауысуымен , есте сақтаудың толықсыздығымен қателіктерінен ақпараттың толықсыздығына алып келеді. Зерттеушінің зерттелушінің бір қатар мәліметтерін маңызды деп санап, ол кейбір елемегендіктен ақпараттың бір бөлігі бұзылады немесе өзгеріске ұшырайды. Егер әңгімені жазып алу қолмен жүргізілсе, онда әңгімелік ақпаратты кодтау жан болар.</w:t>
      </w:r>
    </w:p>
    <w:p>
      <w:pPr>
        <w:pStyle w:val="style0"/>
        <w:jc w:val="both"/>
      </w:pPr>
      <w:r>
        <w:rPr>
          <w:rFonts w:cs="Times New Roman"/>
          <w:sz w:val="28"/>
          <w:szCs w:val="28"/>
          <w:lang w:val="kk-KZ"/>
        </w:rPr>
        <w:t xml:space="preserve"> </w:t>
      </w:r>
      <w:r>
        <w:rPr>
          <w:rFonts w:cs="Times New Roman"/>
          <w:sz w:val="28"/>
          <w:szCs w:val="28"/>
          <w:lang w:val="kk-KZ"/>
        </w:rPr>
        <w:t>Мақсатқа бағытталған сұрақнаманы</w:t>
      </w:r>
      <w:r>
        <w:rPr>
          <w:rFonts w:cs="Times New Roman"/>
          <w:color w:val="FF3333"/>
          <w:sz w:val="28"/>
          <w:szCs w:val="28"/>
          <w:lang w:val="kk-KZ"/>
        </w:rPr>
        <w:t xml:space="preserve"> интервю</w:t>
      </w:r>
      <w:r>
        <w:rPr>
          <w:rFonts w:cs="Times New Roman"/>
          <w:sz w:val="28"/>
          <w:szCs w:val="28"/>
          <w:lang w:val="kk-KZ"/>
        </w:rPr>
        <w:t xml:space="preserve"> деп атайды. Интервью әдіс әлеуметтік психологияда, тұлға психологиясында, еңбек психологиясында, ең маңыздысы социологияда қолданылады. Сондықтан дәстүр бойынша оны социологиялық және әлеуметтік психологиялық әдістерге жатқызады.</w:t>
      </w:r>
    </w:p>
    <w:p>
      <w:pPr>
        <w:pStyle w:val="style0"/>
        <w:jc w:val="both"/>
      </w:pPr>
      <w:r>
        <w:rPr>
          <w:rFonts w:cs="Times New Roman"/>
          <w:sz w:val="28"/>
          <w:szCs w:val="28"/>
          <w:lang w:val="kk-KZ"/>
        </w:rPr>
        <w:t xml:space="preserve">Интервю жасырын әңгіме ретінде анықталады: интервьюлар зерттеуші екенін ұмытпау қажет және жоспарды зейін шығармай, әңгімені өзіне қажетті бағытта жүргізуі тиіс. </w:t>
      </w:r>
    </w:p>
    <w:p>
      <w:pPr>
        <w:pStyle w:val="style0"/>
        <w:jc w:val="both"/>
      </w:pPr>
      <w:r>
        <w:rPr>
          <w:rFonts w:cs="Times New Roman"/>
          <w:sz w:val="28"/>
          <w:szCs w:val="28"/>
          <w:lang w:val="kk-KZ"/>
        </w:rPr>
        <w:t xml:space="preserve">Интервюді жүргізгендегі шешуші сәт интервьюермен сұрастырылатын жатушының арасындағы сенімді байланыста. Сонымен психологиялық дистанцияны жоғалтуға болмайды. </w:t>
      </w:r>
    </w:p>
    <w:p>
      <w:pPr>
        <w:pStyle w:val="style0"/>
        <w:jc w:val="both"/>
      </w:pPr>
      <w:r>
        <w:rPr>
          <w:rFonts w:cs="Times New Roman"/>
          <w:sz w:val="28"/>
          <w:szCs w:val="28"/>
          <w:lang w:val="kk-KZ"/>
        </w:rPr>
        <w:t>Әлеуметтік психологияда интервью сауа</w:t>
      </w:r>
      <w:r>
        <w:rPr>
          <w:rFonts w:cs="Times New Roman"/>
          <w:sz w:val="28"/>
          <w:szCs w:val="28"/>
          <w:lang w:val="kk-KZ"/>
        </w:rPr>
        <w:t>л</w:t>
      </w:r>
      <w:r>
        <w:rPr>
          <w:rFonts w:cs="Times New Roman"/>
          <w:sz w:val="28"/>
          <w:szCs w:val="28"/>
          <w:lang w:val="kk-KZ"/>
        </w:rPr>
        <w:t>нама әдістерінің бір түріне жатқызылады. Екінші түр- сырттай сұрақнама анкеталар. Олар зерттелінушінің зерттеушінің қатысуынсыз өз бетімен толтыруына бағытталған . Анкета қабылдаудың (психологиялық зерттеулерде) Ф.Гальтон болған.</w:t>
      </w:r>
    </w:p>
    <w:p>
      <w:pPr>
        <w:pStyle w:val="style0"/>
        <w:jc w:val="both"/>
      </w:pPr>
      <w:r>
        <w:rPr>
          <w:rFonts w:cs="Times New Roman"/>
          <w:sz w:val="28"/>
          <w:szCs w:val="28"/>
          <w:lang w:val="kk-KZ"/>
        </w:rPr>
        <w:t xml:space="preserve">Тұқымқуалаушылық пен ортаның интеллект деңгейіне ықпалын зерттей отырып, ол анкетаны шығарған, оның көмегімен 100 ең ірі британдық ғылымдарды сұрап шықты . Кейін анкеталар даму психологиясында және тұлға психологиясында кеңінен қолданыла бастады. </w:t>
      </w:r>
    </w:p>
    <w:p>
      <w:pPr>
        <w:pStyle w:val="style0"/>
        <w:jc w:val="both"/>
      </w:pPr>
      <w:r>
        <w:rPr>
          <w:rFonts w:cs="Times New Roman"/>
          <w:color w:val="FF3333"/>
          <w:sz w:val="28"/>
          <w:szCs w:val="28"/>
          <w:lang w:val="kk-KZ"/>
        </w:rPr>
        <w:t xml:space="preserve">Анкеталауды психологиялық </w:t>
      </w:r>
      <w:r>
        <w:rPr>
          <w:rFonts w:cs="Times New Roman"/>
          <w:sz w:val="28"/>
          <w:szCs w:val="28"/>
          <w:lang w:val="kk-KZ"/>
        </w:rPr>
        <w:t xml:space="preserve">ғылыми әдістеріне жатқызу қиын. Анкета арқыла жинақталған ақпарат декларативті болып, зерттелушінің шынай жауаптарына қарамастан, сенімсіз әрі нақты бола алмайды. Әр психологиялық зерттелінушінің ой білдіріп айтқандарына санадан тыс мотивация мен қондырғылар қалай ықпал ететінін біледі. Сондықтан анкеталауды психологиялық зерттеулерде қосымша «әлеуметтік психологиядағы зерттеулерде қолданыла алатын психологиялық емес әдіс деп санауға әбден болады. </w:t>
      </w:r>
    </w:p>
    <w:p>
      <w:pPr>
        <w:pStyle w:val="style0"/>
        <w:jc w:val="both"/>
      </w:pPr>
      <w:r>
        <w:rPr>
          <w:rFonts w:cs="Times New Roman"/>
          <w:sz w:val="28"/>
          <w:szCs w:val="28"/>
          <w:lang w:val="kk-KZ"/>
        </w:rPr>
        <w:t>3.Американдық ғылыми термин</w:t>
      </w:r>
      <w:r>
        <w:rPr>
          <w:rFonts w:cs="Times New Roman"/>
          <w:color w:val="FF3333"/>
          <w:sz w:val="28"/>
          <w:szCs w:val="28"/>
          <w:lang w:val="kk-KZ"/>
        </w:rPr>
        <w:t xml:space="preserve"> «мұрағат әдісі» қ</w:t>
      </w:r>
      <w:r>
        <w:rPr>
          <w:rFonts w:cs="Times New Roman"/>
          <w:sz w:val="28"/>
          <w:szCs w:val="28"/>
          <w:lang w:val="kk-KZ"/>
        </w:rPr>
        <w:t xml:space="preserve">абылданған. Бұндай зерттеулерде зерттеуші зерттелінушінің өзекті іс-әрекетін өлшемей және бақыламай , күнделікті жазбаларын және мұрағат материалдарын, еңбек, оқу және шығармашылық іс-әрекетінің және т.б. продуктыларын талдайды. </w:t>
      </w:r>
    </w:p>
    <w:p>
      <w:pPr>
        <w:pStyle w:val="style0"/>
        <w:jc w:val="both"/>
      </w:pPr>
      <w:r>
        <w:rPr>
          <w:rFonts w:cs="Times New Roman"/>
          <w:sz w:val="28"/>
          <w:szCs w:val="28"/>
          <w:lang w:val="kk-KZ"/>
        </w:rPr>
        <w:t xml:space="preserve">Зерттеуші тесттер, заттыұ материалды зерттеуші мүмкін. Мақсаттары мен «мұрағат әдісін» жүзеге асыру жөнінен түрлері ажыратылады. Тұлға психологиясында шығармашылық пен тарих психологиясында тұлғаның немесе адамдар таптарының өмірлік жолының ерекшеліктері зерттелінетін биографиялық әдіс үлкен қолданысқа ие болады. «Мұрағат әдістері» сонымен бірге контент-анализ техникасы да жатқызылады. Контент-анализ құжаттарды талдаудың неғұрлым құралған және қатаң әдістерінің бірі болып табылады. Зерттеуші мазмұнның бірліктерін анықтап алынған мәліметтерді кванттайды. Бұл әдіс тек психологияда ғана емес, басқа да әлеуметтік ғылымдарда таралған. Контент-анализ әдісін құрастыру «контент-анализ» коммуникациялық зерттеулерді атты фундаменталды монографияның авторлары Г.Лассуэл, </w:t>
      </w:r>
      <w:r>
        <w:rPr>
          <w:rFonts w:cs="Times New Roman"/>
          <w:color w:val="FF3333"/>
          <w:sz w:val="28"/>
          <w:szCs w:val="28"/>
          <w:lang w:val="kk-KZ"/>
        </w:rPr>
        <w:t xml:space="preserve">Ч.Осгуд және Б.Берельсон аттарымен байланысты. Контен-анализ текстті талдаудың стандартты бірліктері: </w:t>
      </w:r>
    </w:p>
    <w:p>
      <w:pPr>
        <w:pStyle w:val="style20"/>
        <w:numPr>
          <w:ilvl w:val="0"/>
          <w:numId w:val="5"/>
        </w:numPr>
        <w:jc w:val="both"/>
      </w:pPr>
      <w:r>
        <w:rPr>
          <w:rFonts w:cs="Times New Roman"/>
          <w:color w:val="FF3333"/>
          <w:sz w:val="28"/>
          <w:szCs w:val="28"/>
          <w:lang w:val="kk-KZ"/>
        </w:rPr>
        <w:t>Сөз (термин, белгі)</w:t>
      </w:r>
    </w:p>
    <w:p>
      <w:pPr>
        <w:pStyle w:val="style20"/>
        <w:numPr>
          <w:ilvl w:val="0"/>
          <w:numId w:val="5"/>
        </w:numPr>
        <w:jc w:val="both"/>
      </w:pPr>
      <w:r>
        <w:rPr>
          <w:rFonts w:cs="Times New Roman"/>
          <w:color w:val="FF3333"/>
          <w:sz w:val="28"/>
          <w:szCs w:val="28"/>
          <w:lang w:val="kk-KZ"/>
        </w:rPr>
        <w:t>Ой немесе аяқталған ой</w:t>
      </w:r>
    </w:p>
    <w:p>
      <w:pPr>
        <w:pStyle w:val="style20"/>
        <w:numPr>
          <w:ilvl w:val="0"/>
          <w:numId w:val="5"/>
        </w:numPr>
        <w:jc w:val="both"/>
      </w:pPr>
      <w:r>
        <w:rPr>
          <w:rFonts w:cs="Times New Roman"/>
          <w:color w:val="FF3333"/>
          <w:sz w:val="28"/>
          <w:szCs w:val="28"/>
          <w:lang w:val="kk-KZ"/>
        </w:rPr>
        <w:t>Тақырып</w:t>
      </w:r>
    </w:p>
    <w:p>
      <w:pPr>
        <w:pStyle w:val="style20"/>
        <w:numPr>
          <w:ilvl w:val="0"/>
          <w:numId w:val="5"/>
        </w:numPr>
        <w:jc w:val="both"/>
      </w:pPr>
      <w:r>
        <w:rPr>
          <w:rFonts w:cs="Times New Roman"/>
          <w:color w:val="FF3333"/>
          <w:sz w:val="28"/>
          <w:szCs w:val="28"/>
          <w:lang w:val="kk-KZ"/>
        </w:rPr>
        <w:t xml:space="preserve">Персонаж </w:t>
      </w:r>
    </w:p>
    <w:p>
      <w:pPr>
        <w:pStyle w:val="style20"/>
        <w:numPr>
          <w:ilvl w:val="0"/>
          <w:numId w:val="5"/>
        </w:numPr>
        <w:jc w:val="both"/>
      </w:pPr>
      <w:r>
        <w:rPr>
          <w:rFonts w:cs="Times New Roman"/>
          <w:color w:val="FF3333"/>
          <w:sz w:val="28"/>
          <w:szCs w:val="28"/>
          <w:lang w:val="kk-KZ"/>
        </w:rPr>
        <w:t>Автор</w:t>
      </w:r>
    </w:p>
    <w:p>
      <w:pPr>
        <w:pStyle w:val="style20"/>
        <w:numPr>
          <w:ilvl w:val="0"/>
          <w:numId w:val="5"/>
        </w:numPr>
        <w:jc w:val="both"/>
      </w:pPr>
      <w:r>
        <w:rPr>
          <w:rFonts w:cs="Times New Roman"/>
          <w:color w:val="FF3333"/>
          <w:sz w:val="28"/>
          <w:szCs w:val="28"/>
          <w:lang w:val="kk-KZ"/>
        </w:rPr>
        <w:t xml:space="preserve">Толық хабарлау. Әрбір бірлігін едәуір ірі құрылым контекстінде қарастырылады. </w:t>
      </w:r>
    </w:p>
    <w:p>
      <w:pPr>
        <w:pStyle w:val="style0"/>
        <w:ind w:hanging="708" w:left="708" w:right="0"/>
        <w:jc w:val="both"/>
      </w:pPr>
      <w:r>
        <w:rPr>
          <w:rFonts w:cs="Times New Roman"/>
          <w:color w:val="FF3333"/>
          <w:sz w:val="28"/>
          <w:szCs w:val="28"/>
          <w:lang w:val="kk-KZ"/>
        </w:rPr>
        <w:t xml:space="preserve">Контент анализ мәліметтерін талдаудың </w:t>
      </w:r>
      <w:r>
        <w:rPr>
          <w:rFonts w:cs="Times New Roman"/>
          <w:sz w:val="28"/>
          <w:szCs w:val="28"/>
          <w:lang w:val="kk-KZ"/>
        </w:rPr>
        <w:t>бірнеше тәсілдері бар. Ең қарапайымы- текстте сол немесе басқа бірліктердің пайда болуын тіркеу . Анализдің екінші түрі – тексттегі контент-анализ бірліктерінің бірге пайда болуын құру. Бұнда мысалы түрлі хабарларда А мен В бірліктерінің тәуелсіз кездесу жилігі тіркеледі.Ортақ кездесуінің шартты мүмкіндігі Р(АВ)= P(B)*P(A) саналып шағарылады. Содан кейін бұл екі бірліктің эмпирикалық жилігін теориялық кездесу мүмкіндігімен эмпирикалық салыстыру оларды текстте кездейсоқ не кездейсоқ емес кездесуі жөнінде ақпарат береді.</w:t>
      </w:r>
    </w:p>
    <w:p>
      <w:pPr>
        <w:pStyle w:val="style0"/>
        <w:ind w:hanging="708" w:left="708" w:right="0"/>
        <w:jc w:val="both"/>
      </w:pPr>
      <w:r>
        <w:rPr>
          <w:rFonts w:cs="Times New Roman"/>
          <w:sz w:val="28"/>
          <w:szCs w:val="28"/>
          <w:lang w:val="kk-KZ"/>
        </w:rPr>
        <w:t xml:space="preserve">Іс-әрекет нәтижелерін талдау- тарихи сонымен бірге антропо және шығармашылық психологияда кең қолданылатын әдіс. Іс әрекет нәтижелерін талдау клиникалықпсихологтар үшін маңызды материал: белгілі бір ауруларды (шизофрения, маниакалды-депрессивті психоз ) нәтижеліктің сипаты жедел өзгереді. Ал ол тексттерде, суреттер ерекшеліктерінде көрініс береді. </w:t>
      </w:r>
    </w:p>
    <w:p>
      <w:pPr>
        <w:pStyle w:val="style0"/>
        <w:ind w:hanging="708" w:left="708" w:right="0"/>
        <w:jc w:val="both"/>
      </w:pPr>
      <w:r>
        <w:rPr>
          <w:rFonts w:cs="Times New Roman"/>
          <w:sz w:val="28"/>
          <w:szCs w:val="28"/>
          <w:lang w:val="kk-KZ"/>
        </w:rPr>
        <w:t>Ауру адамның іс-әрекет нәтижесінің нейропсихологиялық анализінің үлгісі, А.Р.Лурияның «Жоғалған және қайтарылған әлем» атты еңбегінде берілген бүкіл мазмұн мидың сол жақ жарты бөлігінің  3 зонасының біріне жарақат алған адамның күнделік,жазбалардың және суреттердің интерпретацияларының негізінде жасалған.</w:t>
      </w:r>
    </w:p>
    <w:p>
      <w:pPr>
        <w:pStyle w:val="style0"/>
        <w:ind w:hanging="708" w:left="708" w:right="0"/>
        <w:jc w:val="both"/>
      </w:pPr>
      <w:r>
        <w:rPr>
          <w:rFonts w:cs="Times New Roman"/>
          <w:sz w:val="28"/>
          <w:szCs w:val="28"/>
          <w:lang w:val="kk-KZ"/>
        </w:rPr>
        <w:t xml:space="preserve">Л.Френктің (1939ж) классификациясы бойынша шығармашылық нәтижелерін зерттеу әдістемелерінің саны көп емес, «үй суреті», «адам келбеті», «адам суреті » және т.б. тесттер. Бірақ іс әрекет нәтижелерін талдау басқа прективті тесттердің нәтижелерін интерпретациялауда байқалады. Оған ТАТ-ты , Розенцвейктің «сия іздері», «жазу анализі» және т.б. тесттерді жатқызамыз. </w:t>
      </w:r>
    </w:p>
    <w:p>
      <w:pPr>
        <w:pStyle w:val="style0"/>
        <w:ind w:hanging="708" w:left="708" w:right="0"/>
        <w:jc w:val="both"/>
      </w:pPr>
      <w:r>
        <w:rPr>
          <w:rFonts w:cs="Times New Roman"/>
          <w:sz w:val="28"/>
          <w:szCs w:val="28"/>
          <w:lang w:val="kk-KZ"/>
        </w:rPr>
        <w:t>Барлық проективті тесттер осында белгілер қатары арқылы біріктіреді.</w:t>
      </w:r>
    </w:p>
    <w:p>
      <w:pPr>
        <w:pStyle w:val="style20"/>
        <w:numPr>
          <w:ilvl w:val="0"/>
          <w:numId w:val="6"/>
        </w:numPr>
        <w:jc w:val="both"/>
      </w:pPr>
      <w:r>
        <w:rPr>
          <w:rFonts w:cs="Times New Roman"/>
          <w:sz w:val="28"/>
          <w:szCs w:val="28"/>
          <w:lang w:val="kk-KZ"/>
        </w:rPr>
        <w:t>Материалдық анықсыздығы және тапсырмаға нұсқаудың болмауы</w:t>
      </w:r>
    </w:p>
    <w:p>
      <w:pPr>
        <w:pStyle w:val="style20"/>
        <w:numPr>
          <w:ilvl w:val="0"/>
          <w:numId w:val="6"/>
        </w:numPr>
        <w:jc w:val="both"/>
      </w:pPr>
      <w:r>
        <w:rPr>
          <w:rFonts w:cs="Times New Roman"/>
          <w:sz w:val="28"/>
          <w:szCs w:val="28"/>
          <w:lang w:val="kk-KZ"/>
        </w:rPr>
        <w:t xml:space="preserve">Көптеген әлеуметтің жауаптардың «ашықтығы»- зерттелінушінің барлық реакциялары қабылданады. </w:t>
      </w:r>
    </w:p>
    <w:p>
      <w:pPr>
        <w:pStyle w:val="style20"/>
        <w:numPr>
          <w:ilvl w:val="0"/>
          <w:numId w:val="6"/>
        </w:numPr>
        <w:jc w:val="both"/>
      </w:pPr>
      <w:r>
        <w:rPr>
          <w:rFonts w:cs="Times New Roman"/>
          <w:sz w:val="28"/>
          <w:szCs w:val="28"/>
          <w:lang w:val="kk-KZ"/>
        </w:rPr>
        <w:t>Экспериментатор тарапынан жағымды және бағалауқатынасының болмау атмосферасы.</w:t>
      </w:r>
    </w:p>
    <w:p>
      <w:pPr>
        <w:pStyle w:val="style20"/>
        <w:numPr>
          <w:ilvl w:val="0"/>
          <w:numId w:val="6"/>
        </w:numPr>
        <w:jc w:val="both"/>
      </w:pPr>
      <w:r>
        <w:rPr>
          <w:rFonts w:cs="Times New Roman"/>
          <w:sz w:val="28"/>
          <w:szCs w:val="28"/>
          <w:lang w:val="kk-KZ"/>
        </w:rPr>
        <w:t>Психологиялық қызметті емес, тұлғаның әлеуметтік ортаға қатынасының шамасы өлшенеді.</w:t>
      </w:r>
    </w:p>
    <w:p>
      <w:pPr>
        <w:pStyle w:val="style0"/>
        <w:jc w:val="both"/>
      </w:pPr>
      <w:bookmarkStart w:id="0" w:name="_GoBack"/>
      <w:bookmarkEnd w:id="0"/>
      <w:r>
        <w:rPr>
          <w:rFonts w:cs="Times New Roman"/>
          <w:sz w:val="28"/>
          <w:szCs w:val="28"/>
          <w:lang w:val="kk-KZ"/>
        </w:rPr>
        <w:t>Процедуралардың бұл ерекшеліктері проективті тесттерді креативтілік тесттермен жақындастырады. «Сия іздері » тестін еместі психикалық ерекшеліктерін зерттеуге қатысты. Проективті тесттердің неғұрлым нақты Е.Г. Сокалованың тұлғалық зерттеудің проективті әдістері атты монографиясында қарастырылған.</w:t>
      </w:r>
    </w:p>
    <w:p>
      <w:pPr>
        <w:pStyle w:val="style0"/>
        <w:jc w:val="both"/>
      </w:pPr>
      <w:r>
        <w:rPr/>
      </w:r>
    </w:p>
    <w:p>
      <w:pPr>
        <w:pStyle w:val="style0"/>
      </w:pPr>
      <w:r>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6">
    <w:lvl w:ilvl="0">
      <w:start w:val="1"/>
      <w:numFmt w:val="decimal"/>
      <w:lvlText w:val="%1."/>
      <w:lvlJc w:val="left"/>
      <w:pPr>
        <w:ind w:hanging="360" w:left="787"/>
      </w:pPr>
    </w:lvl>
    <w:lvl w:ilvl="1">
      <w:start w:val="1"/>
      <w:numFmt w:val="lowerLetter"/>
      <w:lvlText w:val="%2."/>
      <w:lvlJc w:val="left"/>
      <w:pPr>
        <w:ind w:hanging="360" w:left="1507"/>
      </w:pPr>
    </w:lvl>
    <w:lvl w:ilvl="2">
      <w:start w:val="1"/>
      <w:numFmt w:val="lowerRoman"/>
      <w:lvlText w:val="%3."/>
      <w:lvlJc w:val="right"/>
      <w:pPr>
        <w:ind w:hanging="180" w:left="2227"/>
      </w:pPr>
    </w:lvl>
    <w:lvl w:ilvl="3">
      <w:start w:val="1"/>
      <w:numFmt w:val="decimal"/>
      <w:lvlText w:val="%4."/>
      <w:lvlJc w:val="left"/>
      <w:pPr>
        <w:ind w:hanging="360" w:left="2947"/>
      </w:pPr>
    </w:lvl>
    <w:lvl w:ilvl="4">
      <w:start w:val="1"/>
      <w:numFmt w:val="lowerLetter"/>
      <w:lvlText w:val="%5."/>
      <w:lvlJc w:val="left"/>
      <w:pPr>
        <w:ind w:hanging="360" w:left="3667"/>
      </w:pPr>
    </w:lvl>
    <w:lvl w:ilvl="5">
      <w:start w:val="1"/>
      <w:numFmt w:val="lowerRoman"/>
      <w:lvlText w:val="%6."/>
      <w:lvlJc w:val="right"/>
      <w:pPr>
        <w:ind w:hanging="180" w:left="4387"/>
      </w:pPr>
    </w:lvl>
    <w:lvl w:ilvl="6">
      <w:start w:val="1"/>
      <w:numFmt w:val="decimal"/>
      <w:lvlText w:val="%7."/>
      <w:lvlJc w:val="left"/>
      <w:pPr>
        <w:ind w:hanging="360" w:left="5107"/>
      </w:pPr>
    </w:lvl>
    <w:lvl w:ilvl="7">
      <w:start w:val="1"/>
      <w:numFmt w:val="lowerLetter"/>
      <w:lvlText w:val="%8."/>
      <w:lvlJc w:val="left"/>
      <w:pPr>
        <w:ind w:hanging="360" w:left="5827"/>
      </w:pPr>
    </w:lvl>
    <w:lvl w:ilvl="8">
      <w:start w:val="1"/>
      <w:numFmt w:val="lowerRoman"/>
      <w:lvlText w:val="%9."/>
      <w:lvlJc w:val="right"/>
      <w:pPr>
        <w:ind w:hanging="180" w:left="6547"/>
      </w:pPr>
    </w:lvl>
  </w:abstractNum>
  <w:abstractNum w:abstractNumId="7">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w:style w:styleId="style0" w:type="paragraph">
    <w:name w:val="Базовый"/>
    <w:next w:val="style0"/>
    <w:pPr>
      <w:widowControl w:val="false"/>
      <w:suppressAutoHyphens w:val="true"/>
      <w:overflowPunct w:val="false"/>
    </w:pPr>
    <w:rPr>
      <w:rFonts w:ascii="Times New Roman" w:cs="Tahoma" w:eastAsia="Andale Sans UI" w:hAnsi="Times New Roman"/>
      <w:color w:val="00000A"/>
      <w:sz w:val="24"/>
      <w:szCs w:val="24"/>
      <w:lang w:bidi="zxx-" w:eastAsia="zxx-" w:val="zxx-"/>
    </w:rPr>
  </w:style>
  <w:style w:styleId="style15" w:type="paragraph">
    <w:name w:val="Заголовок"/>
    <w:basedOn w:val="style0"/>
    <w:next w:val="style16"/>
    <w:pPr>
      <w:keepNext/>
      <w:spacing w:after="120" w:before="240"/>
      <w:contextualSpacing w:val="false"/>
    </w:pPr>
    <w:rPr>
      <w:rFonts w:ascii="Arial" w:cs="Tahoma" w:eastAsia="Andale Sans UI" w:hAnsi="Arial"/>
      <w:sz w:val="28"/>
      <w:szCs w:val="28"/>
    </w:rPr>
  </w:style>
  <w:style w:styleId="style16" w:type="paragraph">
    <w:name w:val="Основной текст"/>
    <w:basedOn w:val="style0"/>
    <w:next w:val="style16"/>
    <w:pPr>
      <w:spacing w:after="120" w:before="0"/>
      <w:contextualSpacing w:val="false"/>
    </w:pPr>
    <w:rPr/>
  </w:style>
  <w:style w:styleId="style17" w:type="paragraph">
    <w:name w:val="Список"/>
    <w:basedOn w:val="style16"/>
    <w:next w:val="style17"/>
    <w:pPr/>
    <w:rPr>
      <w:rFonts w:cs="Tahoma"/>
    </w:rPr>
  </w:style>
  <w:style w:styleId="style18" w:type="paragraph">
    <w:name w:val="Название"/>
    <w:basedOn w:val="style0"/>
    <w:next w:val="style18"/>
    <w:pPr>
      <w:suppressLineNumbers/>
      <w:spacing w:after="120" w:before="120"/>
      <w:contextualSpacing w:val="false"/>
    </w:pPr>
    <w:rPr>
      <w:rFonts w:cs="Tahoma"/>
      <w:i/>
      <w:iCs/>
      <w:sz w:val="24"/>
      <w:szCs w:val="24"/>
    </w:rPr>
  </w:style>
  <w:style w:styleId="style19" w:type="paragraph">
    <w:name w:val="Указатель"/>
    <w:basedOn w:val="style0"/>
    <w:next w:val="style19"/>
    <w:pPr>
      <w:suppressLineNumbers/>
    </w:pPr>
    <w:rPr>
      <w:rFonts w:cs="Tahoma"/>
    </w:rPr>
  </w:style>
  <w:style w:styleId="style20" w:type="paragraph">
    <w:name w:val="List Paragraph"/>
    <w:basedOn w:val="style0"/>
    <w:next w:val="style20"/>
    <w:pPr>
      <w:spacing w:after="20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TotalTime>
  <Application>LibreOffice/4.0.1.2$Windows_x86 LibreOffice_project/84102822e3d61eb989ddd325abf1ac077904985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2009-04-16T11:32:02.17Z</dcterms:created>
  <dcterms:modified xsi:type="dcterms:W3CDTF">2009-04-16T11:32:06.20Z</dcterms:modified>
  <cp:revision>2</cp:revision>
</cp:coreProperties>
</file>